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D" w:rsidRPr="001073CD" w:rsidRDefault="001073CD" w:rsidP="001073CD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1073CD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О профессиональном пенсионном страховании</w:t>
      </w:r>
    </w:p>
    <w:p w:rsidR="001073CD" w:rsidRPr="001073CD" w:rsidRDefault="001073CD" w:rsidP="001073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Пенсионным законодательством предусматривается возможность назначения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досрочной пенсии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в связи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 длительной занятостью в особых условиях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труда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или отдельными видами профессиональной деятельности.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Такие пенсии назначаются работникам, занятым по спискам № 1 и № 2, работницам текстильного производства, животноводам, операторам машинного доения, трактористам, водителям городского пассажирского транспорта, работникам авиации, артистам, спортсменам, отдельным категориям педагогических и медицинских работников (</w:t>
      </w:r>
      <w:r w:rsidRPr="001073CD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>статьи 12,13, 46-49</w:t>
      </w:r>
      <w:r w:rsidRPr="001073CD">
        <w:rPr>
          <w:rFonts w:ascii="Arial" w:eastAsia="Times New Roman" w:hAnsi="Arial" w:cs="Arial"/>
          <w:i/>
          <w:iCs/>
          <w:color w:val="121212"/>
          <w:sz w:val="20"/>
          <w:szCs w:val="20"/>
          <w:vertAlign w:val="superscript"/>
          <w:lang w:eastAsia="ru-RU"/>
        </w:rPr>
        <w:t>2 </w:t>
      </w:r>
      <w:r w:rsidRPr="001073CD">
        <w:rPr>
          <w:rFonts w:ascii="Arial" w:eastAsia="Times New Roman" w:hAnsi="Arial" w:cs="Arial"/>
          <w:i/>
          <w:iCs/>
          <w:color w:val="0000FF"/>
          <w:sz w:val="26"/>
          <w:szCs w:val="26"/>
          <w:u w:val="single"/>
          <w:lang w:eastAsia="ru-RU"/>
        </w:rPr>
        <w:t>Закона Республики Беларусь «О пенсионном обеспечении»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).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Изначально досрочные пенсии выплачивались из средств общей пенсионной системы.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С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1 января 2009 г.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введено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профессиональное пенсионное страхование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работников, занятых в неблагоприятных условиях труда (далее – ППС) (</w:t>
      </w:r>
      <w:r w:rsidRPr="001073CD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>Закон Республики Беларусь "О профессиональном пенсионном страховании")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  Это было сделано для того, чтобы сформировать для досрочных пенсий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отдельный источник финансирования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а не направлять на эти цели общие пенсионные средства.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Таким образом, с 1 января 2009 г.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финансовая ответственность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за применение труда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 в неблагоприятных условиях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возложена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на работодателей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в виде уплаты ими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дополнительных целевых взносов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(принцип «льготы за вредную работу – зона ответственности работодателя, использующего труд во вредных условиях»). Тарифы взносов дифференцированы по категориям работников в пределах от 4 до 9 процентов заработной платы </w:t>
      </w:r>
      <w:hyperlink r:id="rId6" w:history="1">
        <w:r w:rsidRPr="001073CD">
          <w:rPr>
            <w:rFonts w:ascii="Arial" w:eastAsia="Times New Roman" w:hAnsi="Arial" w:cs="Arial"/>
            <w:i/>
            <w:iCs/>
            <w:color w:val="28274B"/>
            <w:sz w:val="26"/>
            <w:szCs w:val="26"/>
            <w:u w:val="single"/>
            <w:lang w:eastAsia="ru-RU"/>
          </w:rPr>
          <w:t>(</w:t>
        </w:r>
      </w:hyperlink>
      <w:r w:rsidRPr="001073CD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Закон Республики Беларусь от 15.07.2021 № 118-З «О взносах в бюджет государственного внебюджетного фонда социальной защиты населения Республики Беларусь»</w:t>
      </w:r>
      <w:r w:rsidRPr="001073CD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>)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Дополнительныецелевые взносы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работодателей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накапливаются отдельно для каждого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работника во вредных условиях. В дальнейшем из этих взносов работнику будет выплачиваться его досрочная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профессиональная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пенсия.</w:t>
      </w:r>
    </w:p>
    <w:p w:rsidR="001073CD" w:rsidRPr="001073CD" w:rsidRDefault="001073CD" w:rsidP="001073CD">
      <w:pPr>
        <w:spacing w:before="120" w:after="120" w:line="240" w:lineRule="auto"/>
        <w:ind w:left="-1701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121212"/>
          <w:sz w:val="26"/>
          <w:szCs w:val="26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2" name="Рисунок 2" descr="https://mintrud.gov.by/uploads/images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trud.gov.by/uploads/images/Slaj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br/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Новые профессиональные пенсии – накопительные. Размер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такой пенсии зависит от объема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перечисленных взносов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и того, насколько раньше общего пенсионного возраста работник обратился за её назначением (принцип «сколько накопил, столько получил»).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Требования к вредному стажу в новой системе остались прежними. Но при этом все досрочные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профессиональные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пенсии могут выплачиваться только при переходе на работу в нормальных условиях труда.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 новой системе профессионального пенсионного страхования работник, сформировавший право на досрочную пенсию, может:</w:t>
      </w:r>
    </w:p>
    <w:p w:rsidR="001073CD" w:rsidRPr="001073CD" w:rsidRDefault="001073CD" w:rsidP="001073CD">
      <w:pPr>
        <w:spacing w:before="120" w:after="120" w:line="240" w:lineRule="auto"/>
        <w:ind w:left="720" w:hanging="36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</w:t>
      </w: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оставить работу во вредных условиях (например, перейти на работу в нормальных условиях труда) и начать получать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досрочную профессиональную пенсию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(в период до достижения общеустановленного пенсионного возраста и назначения общей пенсии по возрасту)</w:t>
      </w:r>
    </w:p>
    <w:p w:rsidR="001073CD" w:rsidRPr="001073CD" w:rsidRDefault="001073CD" w:rsidP="001073CD">
      <w:pPr>
        <w:spacing w:before="120" w:after="120" w:line="240" w:lineRule="auto"/>
        <w:ind w:left="720" w:hanging="36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lastRenderedPageBreak/>
        <w:t></w:t>
      </w: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продолжить работу в неблагоприятных условиях. Поскольку в этом случае досрочная пенсия не выплачивается, сформированные пенсионные сбережения можно получить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после достижения общеустановленного пенсионного возраста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в виде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дополнительной профессиональной пенсии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, в дополнение к общей пенсии по возрасту</w:t>
      </w:r>
    </w:p>
    <w:p w:rsidR="001073CD" w:rsidRPr="001073CD" w:rsidRDefault="001073CD" w:rsidP="001073CD">
      <w:pPr>
        <w:spacing w:before="120" w:after="120" w:line="240" w:lineRule="auto"/>
        <w:ind w:left="720" w:hanging="36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</w:t>
      </w:r>
      <w:r w:rsidRPr="001073CD">
        <w:rPr>
          <w:rFonts w:ascii="Symbol" w:eastAsia="Times New Roman" w:hAnsi="Symbol" w:cs="Arial"/>
          <w:color w:val="121212"/>
          <w:sz w:val="15"/>
          <w:szCs w:val="15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15"/>
          <w:szCs w:val="15"/>
          <w:lang w:eastAsia="ru-RU"/>
        </w:rPr>
        <w:t></w:t>
      </w:r>
      <w:r w:rsidRPr="001073CD">
        <w:rPr>
          <w:rFonts w:ascii="Symbol" w:eastAsia="Times New Roman" w:hAnsi="Symbol" w:cs="Arial"/>
          <w:color w:val="121212"/>
          <w:sz w:val="15"/>
          <w:szCs w:val="15"/>
          <w:lang w:eastAsia="ru-RU"/>
        </w:rPr>
        <w:t>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выбрать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получение ежемесячной доплаты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к заработной плате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 вместо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уплаты работодателем целевых взносов и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 формирования права на профессиональную пенсию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Ведение профессионального пенсионного страхования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(вопросы уплаты взносов, назначения профессиональных пенсий) осуществляется Фондом социальной защиты населения Министерства труда и социальной защиты Республики Беларусь (</w:t>
      </w:r>
      <w:hyperlink r:id="rId8" w:history="1">
        <w:r w:rsidRPr="001073CD">
          <w:rPr>
            <w:rFonts w:ascii="Arial" w:eastAsia="Times New Roman" w:hAnsi="Arial" w:cs="Arial"/>
            <w:color w:val="0070C0"/>
            <w:sz w:val="26"/>
            <w:szCs w:val="26"/>
            <w:u w:val="single"/>
            <w:lang w:eastAsia="ru-RU"/>
          </w:rPr>
          <w:t>https://ssf.gov.by/ru/prof-pens-strax-ru/</w:t>
        </w:r>
      </w:hyperlink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).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u w:val="single"/>
          <w:lang w:eastAsia="ru-RU"/>
        </w:rPr>
        <w:t>В настоящее время –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u w:val="single"/>
          <w:lang w:eastAsia="ru-RU"/>
        </w:rPr>
        <w:t>в переходный период</w:t>
      </w:r>
      <w:r w:rsidRPr="001073CD">
        <w:rPr>
          <w:rFonts w:ascii="Arial" w:eastAsia="Times New Roman" w:hAnsi="Arial" w:cs="Arial"/>
          <w:color w:val="121212"/>
          <w:sz w:val="26"/>
          <w:szCs w:val="26"/>
          <w:u w:val="single"/>
          <w:lang w:eastAsia="ru-RU"/>
        </w:rPr>
        <w:t>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– досрочные пенсии назначаются и в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общей пенсионной системе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(по Закону «О пенсионном обеспечении») и в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новой системе профессионального пенсионного страхования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1073CD" w:rsidRPr="001073CD" w:rsidRDefault="001073CD" w:rsidP="001073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21212"/>
          <w:sz w:val="20"/>
          <w:szCs w:val="20"/>
          <w:lang w:eastAsia="ru-RU"/>
        </w:rPr>
      </w:pP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Чтобы определить, на какую пенсию вправе претендовать работник, действуют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правила перехода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:</w:t>
      </w:r>
    </w:p>
    <w:p w:rsidR="001073CD" w:rsidRPr="001073CD" w:rsidRDefault="001073CD" w:rsidP="001073CD">
      <w:pPr>
        <w:spacing w:before="120" w:after="120" w:line="240" w:lineRule="auto"/>
        <w:ind w:left="720" w:hanging="36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</w:t>
      </w:r>
      <w:r w:rsidRPr="001073CD">
        <w:rPr>
          <w:rFonts w:ascii="Symbol" w:eastAsia="Times New Roman" w:hAnsi="Symbol" w:cs="Arial"/>
          <w:color w:val="121212"/>
          <w:sz w:val="14"/>
          <w:szCs w:val="14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14"/>
          <w:szCs w:val="14"/>
          <w:lang w:eastAsia="ru-RU"/>
        </w:rPr>
        <w:t>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если к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1 января 2009 г.</w:t>
      </w:r>
      <w:r w:rsidRPr="001073CD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>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выработано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не менее половины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требуемого льготного стажа, то назначается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трудовая пенсия в общей пенсионной системе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;</w:t>
      </w:r>
    </w:p>
    <w:p w:rsidR="001073CD" w:rsidRPr="001073CD" w:rsidRDefault="001073CD" w:rsidP="001073CD">
      <w:pPr>
        <w:spacing w:before="120" w:after="120" w:line="240" w:lineRule="auto"/>
        <w:ind w:left="720" w:hanging="36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1073CD">
        <w:rPr>
          <w:rFonts w:ascii="Symbol" w:eastAsia="Times New Roman" w:hAnsi="Symbol" w:cs="Arial"/>
          <w:color w:val="121212"/>
          <w:sz w:val="26"/>
          <w:szCs w:val="26"/>
          <w:lang w:eastAsia="ru-RU"/>
        </w:rPr>
        <w:t></w:t>
      </w:r>
      <w:r w:rsidRPr="001073CD">
        <w:rPr>
          <w:rFonts w:ascii="Symbol" w:eastAsia="Times New Roman" w:hAnsi="Symbol" w:cs="Arial"/>
          <w:color w:val="121212"/>
          <w:sz w:val="14"/>
          <w:szCs w:val="14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14"/>
          <w:szCs w:val="14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14"/>
          <w:szCs w:val="14"/>
          <w:lang w:eastAsia="ru-RU"/>
        </w:rPr>
        <w:t></w:t>
      </w:r>
      <w:r w:rsidRPr="001073CD">
        <w:rPr>
          <w:rFonts w:ascii="Symbol" w:eastAsia="Times New Roman" w:hAnsi="Symbol" w:cs="Arial"/>
          <w:color w:val="121212"/>
          <w:sz w:val="14"/>
          <w:szCs w:val="14"/>
          <w:lang w:eastAsia="ru-RU"/>
        </w:rPr>
        <w:t>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если к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1 января 2009 г.</w:t>
      </w:r>
      <w:r w:rsidRPr="001073CD">
        <w:rPr>
          <w:rFonts w:ascii="Arial" w:eastAsia="Times New Roman" w:hAnsi="Arial" w:cs="Arial"/>
          <w:i/>
          <w:iCs/>
          <w:color w:val="121212"/>
          <w:sz w:val="26"/>
          <w:szCs w:val="26"/>
          <w:lang w:eastAsia="ru-RU"/>
        </w:rPr>
        <w:t> 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выработано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менее половины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 требуемого льготного стажа (то есть стаж сформирован в большей части в новой системе), то назначается </w:t>
      </w:r>
      <w:r w:rsidRPr="001073CD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профессиональная пенсия</w:t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.</w:t>
      </w:r>
    </w:p>
    <w:p w:rsidR="001073CD" w:rsidRPr="001073CD" w:rsidRDefault="001073CD" w:rsidP="001073CD">
      <w:pPr>
        <w:spacing w:before="120" w:after="120" w:line="240" w:lineRule="auto"/>
        <w:ind w:hanging="1701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21212"/>
          <w:sz w:val="26"/>
          <w:szCs w:val="26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1" name="Рисунок 1" descr="https://mintrud.gov.by/uploads/images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trud.gov.by/uploads/images/Slaj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CD">
        <w:rPr>
          <w:rFonts w:ascii="Arial" w:eastAsia="Times New Roman" w:hAnsi="Arial" w:cs="Arial"/>
          <w:color w:val="121212"/>
          <w:sz w:val="26"/>
          <w:szCs w:val="26"/>
          <w:lang w:eastAsia="ru-RU"/>
        </w:rPr>
        <w:br/>
      </w:r>
    </w:p>
    <w:p w:rsidR="001073CD" w:rsidRPr="001073CD" w:rsidRDefault="001073CD" w:rsidP="001073CD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sectPr w:rsidR="001073CD" w:rsidRPr="0010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675"/>
    <w:multiLevelType w:val="multilevel"/>
    <w:tmpl w:val="88A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1073CD"/>
    <w:rsid w:val="001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73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1073CD"/>
  </w:style>
  <w:style w:type="character" w:customStyle="1" w:styleId="itemtext">
    <w:name w:val="item_text"/>
    <w:basedOn w:val="a0"/>
    <w:rsid w:val="001073CD"/>
  </w:style>
  <w:style w:type="paragraph" w:styleId="a5">
    <w:name w:val="Balloon Text"/>
    <w:basedOn w:val="a"/>
    <w:link w:val="a6"/>
    <w:uiPriority w:val="99"/>
    <w:semiHidden/>
    <w:unhideWhenUsed/>
    <w:rsid w:val="0010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73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1073CD"/>
  </w:style>
  <w:style w:type="character" w:customStyle="1" w:styleId="itemtext">
    <w:name w:val="item_text"/>
    <w:basedOn w:val="a0"/>
    <w:rsid w:val="001073CD"/>
  </w:style>
  <w:style w:type="paragraph" w:styleId="a5">
    <w:name w:val="Balloon Text"/>
    <w:basedOn w:val="a"/>
    <w:link w:val="a6"/>
    <w:uiPriority w:val="99"/>
    <w:semiHidden/>
    <w:unhideWhenUsed/>
    <w:rsid w:val="0010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7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5872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2353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20940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3631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9392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5804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9926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7200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4528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8437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6646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6376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prof-pens-strax-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p30900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Krugloe01</dc:creator>
  <cp:lastModifiedBy>Krugloe01</cp:lastModifiedBy>
  <cp:revision>1</cp:revision>
  <dcterms:created xsi:type="dcterms:W3CDTF">2023-03-23T07:35:00Z</dcterms:created>
  <dcterms:modified xsi:type="dcterms:W3CDTF">2023-03-23T07:37:00Z</dcterms:modified>
</cp:coreProperties>
</file>