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739" w:rsidRPr="005A6739" w:rsidRDefault="005A6739" w:rsidP="005A67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4C70"/>
          <w:kern w:val="36"/>
          <w:szCs w:val="28"/>
          <w:lang w:eastAsia="ru-RU"/>
        </w:rPr>
      </w:pPr>
      <w:r w:rsidRPr="005A6739">
        <w:rPr>
          <w:rFonts w:ascii="Arial" w:eastAsia="Times New Roman" w:hAnsi="Arial" w:cs="Arial"/>
          <w:b/>
          <w:bCs/>
          <w:caps/>
          <w:color w:val="004C70"/>
          <w:kern w:val="36"/>
          <w:szCs w:val="28"/>
          <w:lang w:eastAsia="ru-RU"/>
        </w:rPr>
        <w:t>Алгоритм действий предприятий-экспортеров</w:t>
      </w:r>
    </w:p>
    <w:p w:rsidR="005A6739" w:rsidRPr="005A6739" w:rsidRDefault="005A6739" w:rsidP="005A6739">
      <w:pP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bookmarkStart w:id="0" w:name="_GoBack"/>
      <w:r w:rsidRPr="005A6739">
        <w:rPr>
          <w:rFonts w:ascii="Arial" w:eastAsia="Times New Roman" w:hAnsi="Arial" w:cs="Arial"/>
          <w:noProof/>
          <w:color w:val="000000"/>
          <w:sz w:val="24"/>
          <w:lang w:eastAsia="ru-RU"/>
        </w:rPr>
        <w:drawing>
          <wp:inline distT="0" distB="0" distL="0" distR="0">
            <wp:extent cx="5812285" cy="1488072"/>
            <wp:effectExtent l="0" t="0" r="0" b="0"/>
            <wp:docPr id="1" name="Рисунок 1" descr="https://export.by/upload/articles/213/ru/18f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xport.by/upload/articles/213/ru/18f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33" cy="151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6739" w:rsidRPr="005A6739" w:rsidRDefault="005A6739" w:rsidP="005A6739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1. Оценка экспортного потенциала товара (услуги).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На первом этапе проводится комплексный анализ конкурентоспособности товара (услуги) на рынках иностранных государств. Оценка экспортного потенциала базируется на сопоставлении производственных возможностей, потребительских свойств товара (услуги) с требованиями целевого рынка и затратами на его продвижение и учитывает следующие конкурентные показатели:</w:t>
      </w:r>
    </w:p>
    <w:p w:rsidR="005A6739" w:rsidRPr="005A6739" w:rsidRDefault="005A6739" w:rsidP="005A6739">
      <w:pPr>
        <w:numPr>
          <w:ilvl w:val="0"/>
          <w:numId w:val="1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ассортимент – возможности расширения и обновления ассортимента товаров (услуг);</w:t>
      </w:r>
    </w:p>
    <w:p w:rsidR="005A6739" w:rsidRPr="005A6739" w:rsidRDefault="005A6739" w:rsidP="005A6739">
      <w:pPr>
        <w:numPr>
          <w:ilvl w:val="0"/>
          <w:numId w:val="1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свойства и технологические характеристики, рыночное преимущество товара (услуги) по качеству, цене, инновационной технологии для иностранных потребителей;</w:t>
      </w:r>
    </w:p>
    <w:p w:rsidR="005A6739" w:rsidRPr="005A6739" w:rsidRDefault="005A6739" w:rsidP="005A6739">
      <w:pPr>
        <w:numPr>
          <w:ilvl w:val="0"/>
          <w:numId w:val="1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соответствие товара (услуги) международным стандартам.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2. Выбор экспортного рынка.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После определения товара (услуги) необходимо проведение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маркетингового исследования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предполагаемых рынков сбыта. Исследование включает изучение:</w:t>
      </w:r>
    </w:p>
    <w:p w:rsidR="005A6739" w:rsidRPr="005A6739" w:rsidRDefault="005A6739" w:rsidP="005A6739">
      <w:pPr>
        <w:numPr>
          <w:ilvl w:val="0"/>
          <w:numId w:val="2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емкости рынка;</w:t>
      </w:r>
    </w:p>
    <w:p w:rsidR="005A6739" w:rsidRPr="005A6739" w:rsidRDefault="005A6739" w:rsidP="005A6739">
      <w:pPr>
        <w:numPr>
          <w:ilvl w:val="0"/>
          <w:numId w:val="2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основных конкурентов, их доли на рынке;</w:t>
      </w:r>
    </w:p>
    <w:p w:rsidR="005A6739" w:rsidRPr="005A6739" w:rsidRDefault="005A6739" w:rsidP="005A6739">
      <w:pPr>
        <w:numPr>
          <w:ilvl w:val="0"/>
          <w:numId w:val="2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уровня цен на рынке на аналогичный товар (услугу);</w:t>
      </w:r>
    </w:p>
    <w:p w:rsidR="005A6739" w:rsidRPr="005A6739" w:rsidRDefault="005A6739" w:rsidP="005A6739">
      <w:pPr>
        <w:numPr>
          <w:ilvl w:val="0"/>
          <w:numId w:val="2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условий доступа продукта на рынок (меры тарифного и нетарифного регулирования; закупки; местные программы финансирования, преференции).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Маркетинговое исследование может осуществляться самостоятельно или с привлечением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специализированных организаций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– </w:t>
      </w:r>
      <w:hyperlink r:id="rId6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Национальный центр поддержки экспорта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и </w:t>
      </w:r>
      <w:hyperlink r:id="rId7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Белорусской торгово-промышленной палаты</w:t>
        </w:r>
      </w:hyperlink>
      <w:r w:rsidRPr="005A6739">
        <w:rPr>
          <w:rFonts w:ascii="Arial" w:eastAsia="Times New Roman" w:hAnsi="Arial" w:cs="Arial"/>
          <w:b/>
          <w:bCs/>
          <w:color w:val="000000"/>
          <w:sz w:val="24"/>
          <w:lang w:eastAsia="ru-RU"/>
        </w:rPr>
        <w:t>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Для самостоятельного изучения рынка можно воспользоваться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открытыми источниками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в сети Интернет – </w:t>
      </w:r>
      <w:hyperlink r:id="rId8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ресурсами международных организаций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готовыми отраслевыми и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страновыми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hyperlink r:id="rId9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обзорами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и маркетинговыми исследованиями, корпоративной информацией, публикациями зарубежной прессы.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На портале информационной поддержки экспорта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Export.by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размещены:</w:t>
      </w:r>
    </w:p>
    <w:p w:rsidR="005A6739" w:rsidRPr="005A6739" w:rsidRDefault="005A6739" w:rsidP="005A6739">
      <w:pPr>
        <w:numPr>
          <w:ilvl w:val="0"/>
          <w:numId w:val="3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hyperlink r:id="rId10" w:history="1">
        <w:proofErr w:type="spellStart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страновые</w:t>
        </w:r>
        <w:proofErr w:type="spellEnd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 xml:space="preserve"> путеводители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 с данными о социально-экономическом положении иностранных государств, развитии двустороннего 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>сотрудничества, перспективных экспортных товарных позициях, полезных ссылках для изучения конкретного рынка;</w:t>
      </w:r>
    </w:p>
    <w:p w:rsidR="005A6739" w:rsidRPr="005A6739" w:rsidRDefault="005A6739" w:rsidP="005A6739">
      <w:pPr>
        <w:numPr>
          <w:ilvl w:val="0"/>
          <w:numId w:val="3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платформа </w:t>
      </w:r>
      <w:hyperlink r:id="rId11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«Одно окно ВЭД»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содержащую комплексную практическую информацию о всех аспектах внешнеэкономической деятельности в Республике Беларусь, административных процедурах и процессах, </w:t>
      </w:r>
      <w:hyperlink r:id="rId12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статистике международной торговли</w:t>
        </w:r>
      </w:hyperlink>
      <w:bookmarkStart w:id="1" w:name="_ftnref1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"https://export.by/articles/algoritm-dejstvij-predpriyatij-eksporterov" \l "_ftn1" \o ""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  <w:r w:rsidRPr="005A6739">
        <w:rPr>
          <w:rFonts w:ascii="Arial" w:eastAsia="Times New Roman" w:hAnsi="Arial" w:cs="Arial"/>
          <w:color w:val="004C70"/>
          <w:sz w:val="24"/>
          <w:u w:val="single"/>
          <w:lang w:eastAsia="ru-RU"/>
        </w:rPr>
        <w:t>[1]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  <w:bookmarkEnd w:id="1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нормативных правовых актах Республики Беларусь и наднациональном законодательстве ЕАЭС, международных соглашениях, ссылки на полезные Интернет-ресурсы.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 целях уточнения информации об экспортных рынках можно обратиться за содействием в </w:t>
      </w:r>
      <w:hyperlink r:id="rId13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загранучреждения Республики Беларусь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hyperlink r:id="rId14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Пошаговая информация о базовых цепочках действий экспортера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(поиск партнера, заключение договора, подготовка документов, поиск транспортно-логистической компании, страхование экспорта, финансовые инструменты) размещена на платформе «Одно окно ВЭД».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3. Поиск партнера.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Поиск потенциальных покупателях товара (услуги) осуществляется:</w:t>
      </w:r>
    </w:p>
    <w:p w:rsidR="005A6739" w:rsidRPr="005A6739" w:rsidRDefault="005A6739" w:rsidP="005A6739">
      <w:pPr>
        <w:numPr>
          <w:ilvl w:val="0"/>
          <w:numId w:val="4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самостоятельно в сети Интернет с учетом изучения рынка, с использованием полезных ссылок в разрезе стран на </w:t>
      </w:r>
      <w:hyperlink r:id="rId15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платформе «Одно окно ВЭД»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;</w:t>
      </w:r>
    </w:p>
    <w:p w:rsidR="005A6739" w:rsidRPr="005A6739" w:rsidRDefault="005A6739" w:rsidP="005A6739">
      <w:pPr>
        <w:numPr>
          <w:ilvl w:val="0"/>
          <w:numId w:val="4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при содействии </w:t>
      </w:r>
      <w:hyperlink r:id="rId16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загранучреждений Республики Беларусь</w:t>
        </w:r>
      </w:hyperlink>
      <w:r w:rsidRPr="005A6739">
        <w:rPr>
          <w:rFonts w:ascii="Arial" w:eastAsia="Times New Roman" w:hAnsi="Arial" w:cs="Arial"/>
          <w:color w:val="000000"/>
          <w:sz w:val="24"/>
          <w:u w:val="single"/>
          <w:lang w:eastAsia="ru-RU"/>
        </w:rPr>
        <w:t>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 адрес потенциального покупателя направляется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коммерческое предложение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при подготовке которого необходимо учесть </w:t>
      </w:r>
      <w:hyperlink r:id="rId17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рекомендации МИД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. Условия поставки предпочтительно предлагать на дальних базисах (CFR, СIF, CIP, DAP, DDP, DPU).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Налаживание контактов с потенциальными партнерами эффективно путем участия в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 xml:space="preserve">международных специализированных выставках и </w:t>
      </w:r>
      <w:proofErr w:type="spellStart"/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конгрессных</w:t>
      </w:r>
      <w:proofErr w:type="spellEnd"/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 xml:space="preserve"> мероприятиях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в Республике Беларусь и за рубежом, зарубежных бизнес-миссиях. Информация о запланированных мероприятиях и условиях участия размещается на сайтах </w:t>
      </w:r>
      <w:hyperlink r:id="rId18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РУП «Национальный центр поддержки экспорта»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 </w:t>
      </w:r>
      <w:hyperlink r:id="rId19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Белорусской торгово-промышленной палаты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 </w:t>
      </w:r>
      <w:hyperlink r:id="rId20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УП «</w:t>
        </w:r>
        <w:proofErr w:type="spellStart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Белинтерэкспо</w:t>
        </w:r>
        <w:proofErr w:type="spellEnd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»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.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4. Проверка контрагента, заключение договора.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Платформа «Одно окно ВЭД» содержит информацию о полезных ресурсах для проведения предварительной </w:t>
      </w:r>
      <w:hyperlink r:id="rId21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проверки контрагента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этапах </w:t>
      </w:r>
      <w:hyperlink r:id="rId22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заключения внешнеторгового договора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.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5. Подготовка документов для экспорта.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hyperlink r:id="rId23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Оформление экспортной документации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осуществляется в соответствии с установленными нормативными требованиями и процедурами.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На платформе «Одно окно ВЭД» доступны </w:t>
      </w:r>
      <w:hyperlink r:id="rId24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перечень всех административных процедур и процессов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необходимых при осуществлении внешнеэкономической 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>деятельности, а также ссылки на соответствующие ресурсы для их прохождения в режиме онлайн либо подробную информацию об этапах их физического прохождения, включая регулирующие нормы законодательства, пакет необходимых документов для заявителя, сроки рассмотрения.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6. Поиск транспортно-логистической компании.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На платформе «Одно окно ВЭД» доступна краткая </w:t>
      </w:r>
      <w:hyperlink r:id="rId25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информация о транспортных, транспортно-экспедиционных и логистических компаниях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Республики Беларусь.</w:t>
      </w:r>
    </w:p>
    <w:p w:rsidR="005A6739" w:rsidRPr="005A6739" w:rsidRDefault="005A6739" w:rsidP="005A6739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A6739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7. Финансовые инструменты поддержки экспорта.</w:t>
      </w:r>
      <w:r w:rsidRPr="005A673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Указом Президента Республики Беларусь от 25 августа 2006 г. № 534 «О содействии развитию экспорта товаров (работ, услуг)» (далее – Указ № 534) предусмотрены компенсация потерь банкам от предоставления экспортных кредитов, а также банкам и небанковским кредитно-финансовым организациям, осуществляющим финансирование под уступку денежного требования (факторинг) при реализации экспортных контрактов, страхование экспортных рисков с поддержкой государства.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Экспортные кредиты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предоставляются:</w:t>
      </w:r>
    </w:p>
    <w:p w:rsidR="005A6739" w:rsidRPr="005A6739" w:rsidRDefault="005A6739" w:rsidP="005A6739">
      <w:pPr>
        <w:numPr>
          <w:ilvl w:val="0"/>
          <w:numId w:val="5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резидентам для производства товаров, реализуемых нерезидентам;</w:t>
      </w:r>
    </w:p>
    <w:p w:rsidR="005A6739" w:rsidRPr="005A6739" w:rsidRDefault="005A6739" w:rsidP="005A6739">
      <w:pPr>
        <w:numPr>
          <w:ilvl w:val="0"/>
          <w:numId w:val="5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лизинговым организациям – резидентам для приобретения у резидентов товаров для передачи их в лизинг либо реализации нерезидентам;</w:t>
      </w:r>
    </w:p>
    <w:p w:rsidR="005A6739" w:rsidRPr="005A6739" w:rsidRDefault="005A6739" w:rsidP="005A6739">
      <w:pPr>
        <w:numPr>
          <w:ilvl w:val="0"/>
          <w:numId w:val="5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нерезидентам для оплаты реализуемых резидентами и нерезидентами (субъектами товаропроводящей сети) товаров, уплаты таможенных платежей (налогов, сборов, пошлин) при ввозе товаров, оплаченных за счет экспортных кредитов;</w:t>
      </w:r>
    </w:p>
    <w:p w:rsidR="005A6739" w:rsidRPr="005A6739" w:rsidRDefault="005A6739" w:rsidP="005A6739">
      <w:pPr>
        <w:numPr>
          <w:ilvl w:val="0"/>
          <w:numId w:val="5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иностранным банкам для финансирования оплаты нерезидентами товаров резидентам, уплаты таможенных платежей (налогов, сборов, пошлин);</w:t>
      </w:r>
    </w:p>
    <w:p w:rsidR="005A6739" w:rsidRPr="005A6739" w:rsidRDefault="005A6739" w:rsidP="005A6739">
      <w:pPr>
        <w:numPr>
          <w:ilvl w:val="0"/>
          <w:numId w:val="5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резидентам и нерезидентам для возмещения </w:t>
      </w:r>
      <w:hyperlink r:id="rId26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ОАО «Банк развития Республики Беларусь»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(далее – Банк развития) страховых взносов по договорам страхования экспортных рисков с поддержкой государства, заключаемым при предоставлении Банком развития экспортных кредитов.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Постановлением Совета Министров Республики Беларусь от 5 мая 2021 г. № 262 «О поддержке экспорта и страховании» установлен перечень товаров, на производство и приобретение которых в соответствии с Указом № 534 предоставляются экспортные кредиты, финансирование под уступку денежного требования (факторинг), осуществляются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постфинансирование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и дисконтирование аккредитивов.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Постановлением Совета Министров Республики Беларусь от 24 января 2023 г. № 58 «Об условиях экспортного финансирования» установлены:</w:t>
      </w:r>
    </w:p>
    <w:p w:rsidR="005A6739" w:rsidRPr="005A6739" w:rsidRDefault="005A6739" w:rsidP="005A6739">
      <w:pPr>
        <w:numPr>
          <w:ilvl w:val="0"/>
          <w:numId w:val="6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процентные ставки по экспортным кредитам, предоставляемым в соответствии с Указом № 534;</w:t>
      </w:r>
    </w:p>
    <w:p w:rsidR="005A6739" w:rsidRPr="005A6739" w:rsidRDefault="005A6739" w:rsidP="005A6739">
      <w:pPr>
        <w:numPr>
          <w:ilvl w:val="0"/>
          <w:numId w:val="6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вознаграждения при финансировании банками, Банком развития под уступку денежного требования (факторинге) в белорусских рублях в соответствии с Указом № 534;</w:t>
      </w:r>
    </w:p>
    <w:p w:rsidR="005A6739" w:rsidRPr="005A6739" w:rsidRDefault="005A6739" w:rsidP="005A6739">
      <w:pPr>
        <w:numPr>
          <w:ilvl w:val="0"/>
          <w:numId w:val="6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 xml:space="preserve">процентные, ставки, вознаграждение при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постфинансировании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дисконтировании Банком развития, банками аккредитивов в соответствии с Указом № 534.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Применяется дифференцированный подход к финансированию экспорта с государственной поддержкой в зависимости от категории товаров и страны назначения (более льготные размеры процентных ставок в рамках экспортных кредитов и вознаграждений банков при факторинге,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постфинансировании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и дисконтировании аккредитивов предоставляются в отношении поставок в страны «дальней дуги» и инвестиционных товаров), а также предоставляется возможность финансирования в иной валюте, нежели белорусские и российские рубли, китайские юани.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Страхование экспортных рисков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с поддержкой государства от имени Республики Беларусь осуществляет </w:t>
      </w:r>
      <w:hyperlink r:id="rId27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БРУПЭИС «</w:t>
        </w:r>
        <w:proofErr w:type="spellStart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Белэксимгарант</w:t>
        </w:r>
        <w:proofErr w:type="spellEnd"/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»</w:t>
        </w:r>
        <w:r w:rsidRPr="005A6739">
          <w:rPr>
            <w:rFonts w:ascii="Arial" w:eastAsia="Times New Roman" w:hAnsi="Arial" w:cs="Arial"/>
            <w:color w:val="004C70"/>
            <w:sz w:val="24"/>
            <w:u w:val="single"/>
            <w:lang w:eastAsia="ru-RU"/>
          </w:rPr>
          <w:t>.</w:t>
        </w:r>
      </w:hyperlink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Условия и порядок привлечения Республики Беларусь к субсидиарной ответственности по обязательствам БРУПЭИС «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Белэксимгарант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» по выплате страхового возмещения, вытекающим из договоров страхования (перестрахования) экспортных рисков с поддержкой государства, установлены Указом Президента Республики Беларусь от 17 июля 2024 г. № 294 «О субсидиарной ответственности».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hyperlink r:id="rId28" w:history="1">
        <w:r w:rsidRPr="005A6739">
          <w:rPr>
            <w:rFonts w:ascii="Arial" w:eastAsia="Times New Roman" w:hAnsi="Arial" w:cs="Arial"/>
            <w:b/>
            <w:bCs/>
            <w:color w:val="004C70"/>
            <w:sz w:val="24"/>
            <w:u w:val="single"/>
            <w:lang w:eastAsia="ru-RU"/>
          </w:rPr>
          <w:t>Банки</w:t>
        </w:r>
      </w:hyperlink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Республики Беларусь предоставляют услуги по сопровождению внешнеторговых операций.</w:t>
      </w:r>
    </w:p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Указом Президента от 14 ноября 2019 г. № 412 «О поддержке экспорта» предусмотрено </w:t>
      </w:r>
      <w:r w:rsidRPr="005A6739">
        <w:rPr>
          <w:rFonts w:ascii="Arial" w:eastAsia="Times New Roman" w:hAnsi="Arial" w:cs="Arial"/>
          <w:b/>
          <w:bCs/>
          <w:i/>
          <w:iCs/>
          <w:color w:val="000000"/>
          <w:sz w:val="24"/>
          <w:lang w:eastAsia="ru-RU"/>
        </w:rPr>
        <w:t>возмещение экспортерам части расходов 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по участию в международных специализированных выставках (ярмарках) и проведению оценки соответствия продукции в иностранных государствах.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Возмещение предоставляется:</w:t>
      </w:r>
    </w:p>
    <w:p w:rsidR="005A6739" w:rsidRPr="005A6739" w:rsidRDefault="005A6739" w:rsidP="005A6739">
      <w:pPr>
        <w:numPr>
          <w:ilvl w:val="0"/>
          <w:numId w:val="7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 части выставок – не более 1 раза в год в размере 50% от суммы расходов, но не более 250 базовых величин;</w:t>
      </w:r>
    </w:p>
    <w:p w:rsidR="005A6739" w:rsidRPr="005A6739" w:rsidRDefault="005A6739" w:rsidP="005A6739">
      <w:pPr>
        <w:numPr>
          <w:ilvl w:val="0"/>
          <w:numId w:val="7"/>
        </w:numPr>
        <w:spacing w:after="0" w:line="240" w:lineRule="auto"/>
        <w:ind w:left="930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 части оценки соответствия – не более 2 раз в год в размере 50% от суммы расходов, но не более 500 базовых величин (возмещаются затраты на соответствие продукции техническим, ветеринарно-санитарных, фитосанитарным и иным требованиям иностранных государств, в том числе «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Халяль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», «Кошер», «Сертификат здоровья»).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br/>
        <w:t> 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Формы заявлений о предоставлении возмещения определены постановлением Совета Министров Республики Беларусь от 12 декабря 2019 г. № 856 «Об определении форм заявлений».</w:t>
      </w:r>
    </w:p>
    <w:p w:rsidR="005A6739" w:rsidRPr="005A6739" w:rsidRDefault="005A6739" w:rsidP="005A6739">
      <w:pPr>
        <w:spacing w:after="0" w:afterAutospacing="1" w:line="240" w:lineRule="auto"/>
        <w:jc w:val="right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Источник: </w:t>
      </w:r>
      <w:hyperlink r:id="rId29" w:tgtFrame="_blank" w:history="1">
        <w:r w:rsidRPr="005A6739">
          <w:rPr>
            <w:rFonts w:ascii="Arial" w:eastAsia="Times New Roman" w:hAnsi="Arial" w:cs="Arial"/>
            <w:b/>
            <w:bCs/>
            <w:color w:val="004C70"/>
            <w:sz w:val="23"/>
            <w:szCs w:val="23"/>
            <w:u w:val="single"/>
            <w:lang w:eastAsia="ru-RU"/>
          </w:rPr>
          <w:t>МИД Беларуси</w:t>
        </w:r>
      </w:hyperlink>
      <w:r w:rsidRPr="005A6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A6739" w:rsidRPr="005A6739" w:rsidRDefault="005A6739" w:rsidP="005A6739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</w:t>
      </w:r>
    </w:p>
    <w:p w:rsidR="005A6739" w:rsidRPr="005A6739" w:rsidRDefault="005A6739" w:rsidP="005A6739">
      <w:pPr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pict>
          <v:rect id="_x0000_i1026" style="width:154.35pt;height:.75pt" o:hrpct="330" o:hrstd="t" o:hr="t" fillcolor="#a0a0a0" stroked="f"/>
        </w:pict>
      </w:r>
    </w:p>
    <w:bookmarkStart w:id="2" w:name="_ftn1"/>
    <w:p w:rsidR="005A6739" w:rsidRPr="005A6739" w:rsidRDefault="005A6739" w:rsidP="005A6739">
      <w:pPr>
        <w:spacing w:after="0" w:afterAutospacing="1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"https://export.by/articles/algoritm-dejstvij-predpriyatij-eksporterov" \l "_ftnref1" \o ""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  <w:r w:rsidRPr="005A6739">
        <w:rPr>
          <w:rFonts w:ascii="Arial" w:eastAsia="Times New Roman" w:hAnsi="Arial" w:cs="Arial"/>
          <w:color w:val="004C70"/>
          <w:sz w:val="24"/>
          <w:u w:val="single"/>
          <w:lang w:eastAsia="ru-RU"/>
        </w:rPr>
        <w:t>[1]</w: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  <w:bookmarkEnd w:id="2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 </w:t>
      </w:r>
      <w:proofErr w:type="gram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В</w:t>
      </w:r>
      <w:proofErr w:type="gram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разделе «Интерактивная статистика международных организаций» доступны данные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Trade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Map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Market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Access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Map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Export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Potential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Map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Global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Trade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Helpdesk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, данные Продовольственной и сельскохозяйственной организации ООН (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Food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and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lastRenderedPageBreak/>
        <w:t>Agriculture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Organization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of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the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UN, FAO) –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FAOstat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Конференции ООН по торговле и развитию ЮНКТАД – UNCTAD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Data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Hub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статистической службы Еврокомиссии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Eurostat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данные Всемирного банка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World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Bank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Open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Data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, Всемирной торговой организации WTO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RTAs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proofErr w:type="spellStart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Database</w:t>
      </w:r>
      <w:proofErr w:type="spellEnd"/>
      <w:r w:rsidRPr="005A6739">
        <w:rPr>
          <w:rFonts w:ascii="Arial" w:eastAsia="Times New Roman" w:hAnsi="Arial" w:cs="Arial"/>
          <w:color w:val="000000"/>
          <w:sz w:val="24"/>
          <w:lang w:eastAsia="ru-RU"/>
        </w:rPr>
        <w:t>.</w:t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"https://president.gov.by/ru"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"http://www.sovrep.gov.by/ru/"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"https://mfa.gov.by/"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"http://www.house.gov.by/ru"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"https://nepc.by/"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"http://www.icetrade.by/"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"http://www.goszakupki.by/"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"https://www.butb.by/"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"https://www.belarus.by/ru/"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"https://www.cci.by/"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"https://belarus24.by/"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"https://pravo.by/"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5A6739" w:rsidRPr="005A6739" w:rsidRDefault="005A6739" w:rsidP="005A6739">
      <w:pPr>
        <w:spacing w:after="0" w:line="240" w:lineRule="auto"/>
        <w:rPr>
          <w:rFonts w:eastAsia="Times New Roman"/>
          <w:color w:val="004C7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begin"/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instrText xml:space="preserve"> HYPERLINK "https://www.belta.by/" </w:instrText>
      </w: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separate"/>
      </w:r>
    </w:p>
    <w:p w:rsidR="005A6739" w:rsidRPr="005A6739" w:rsidRDefault="005A6739" w:rsidP="005A6739">
      <w:pPr>
        <w:spacing w:line="240" w:lineRule="auto"/>
        <w:rPr>
          <w:rFonts w:eastAsia="Times New Roman"/>
          <w:color w:val="000000"/>
          <w:sz w:val="24"/>
          <w:lang w:eastAsia="ru-RU"/>
        </w:rPr>
      </w:pPr>
      <w:r w:rsidRPr="005A6739">
        <w:rPr>
          <w:rFonts w:ascii="Arial" w:eastAsia="Times New Roman" w:hAnsi="Arial" w:cs="Arial"/>
          <w:color w:val="000000"/>
          <w:sz w:val="24"/>
          <w:lang w:eastAsia="ru-RU"/>
        </w:rPr>
        <w:fldChar w:fldCharType="end"/>
      </w:r>
    </w:p>
    <w:p w:rsidR="00412525" w:rsidRDefault="005A6739"/>
    <w:sectPr w:rsidR="0041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73AC1"/>
    <w:multiLevelType w:val="multilevel"/>
    <w:tmpl w:val="8C4E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65750"/>
    <w:multiLevelType w:val="multilevel"/>
    <w:tmpl w:val="DF06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14F28"/>
    <w:multiLevelType w:val="multilevel"/>
    <w:tmpl w:val="07C4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F6FEE"/>
    <w:multiLevelType w:val="multilevel"/>
    <w:tmpl w:val="7BE6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A2657"/>
    <w:multiLevelType w:val="multilevel"/>
    <w:tmpl w:val="2CC8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095C07"/>
    <w:multiLevelType w:val="multilevel"/>
    <w:tmpl w:val="6462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AD2EB4"/>
    <w:multiLevelType w:val="multilevel"/>
    <w:tmpl w:val="E0FA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739"/>
    <w:rsid w:val="00230DF8"/>
    <w:rsid w:val="003B0FF3"/>
    <w:rsid w:val="00443729"/>
    <w:rsid w:val="005A6739"/>
    <w:rsid w:val="00A30B4D"/>
    <w:rsid w:val="00B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A81E0-5459-4382-A2F6-998A1DC2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673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A673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73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6739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6739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5A6739"/>
    <w:rPr>
      <w:b/>
      <w:bCs/>
    </w:rPr>
  </w:style>
  <w:style w:type="character" w:styleId="a5">
    <w:name w:val="Emphasis"/>
    <w:basedOn w:val="a0"/>
    <w:uiPriority w:val="20"/>
    <w:qFormat/>
    <w:rsid w:val="005A6739"/>
    <w:rPr>
      <w:i/>
      <w:iCs/>
    </w:rPr>
  </w:style>
  <w:style w:type="character" w:styleId="a6">
    <w:name w:val="Hyperlink"/>
    <w:basedOn w:val="a0"/>
    <w:uiPriority w:val="99"/>
    <w:semiHidden/>
    <w:unhideWhenUsed/>
    <w:rsid w:val="005A6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5805">
          <w:marLeft w:val="210"/>
          <w:marRight w:val="210"/>
          <w:marTop w:val="22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92459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2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5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66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2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9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8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0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rt.by/single-window/interactive-statistics-of-international-organizations/" TargetMode="External"/><Relationship Id="rId13" Type="http://schemas.openxmlformats.org/officeDocument/2006/relationships/hyperlink" Target="https://www.mfa.gov.by/bilateral/belarus/" TargetMode="External"/><Relationship Id="rId18" Type="http://schemas.openxmlformats.org/officeDocument/2006/relationships/hyperlink" Target="https://export.by/services/foreign-exhibitions" TargetMode="External"/><Relationship Id="rId26" Type="http://schemas.openxmlformats.org/officeDocument/2006/relationships/hyperlink" Target="https://brrb.by/activity/export-suppo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xport.by/single-window/checking-a-counterparty/" TargetMode="External"/><Relationship Id="rId7" Type="http://schemas.openxmlformats.org/officeDocument/2006/relationships/hyperlink" Target="https://www.cci.by/uslugi/marketingovaya-i-informatsionnaya-podderzhka/" TargetMode="External"/><Relationship Id="rId12" Type="http://schemas.openxmlformats.org/officeDocument/2006/relationships/hyperlink" Target="https://export.by/single-window/interactive-statistics-of-international-organizations/" TargetMode="External"/><Relationship Id="rId17" Type="http://schemas.openxmlformats.org/officeDocument/2006/relationships/hyperlink" Target="https://www.mfa.gov.by/export/offers/" TargetMode="External"/><Relationship Id="rId25" Type="http://schemas.openxmlformats.org/officeDocument/2006/relationships/hyperlink" Target="https://export.by/single-window/logistics-servic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fa.gov.by/bilateral/belarus/" TargetMode="External"/><Relationship Id="rId20" Type="http://schemas.openxmlformats.org/officeDocument/2006/relationships/hyperlink" Target="https://www.belinterexpo.by/events/mezhdunarodnye-vystavki/" TargetMode="External"/><Relationship Id="rId29" Type="http://schemas.openxmlformats.org/officeDocument/2006/relationships/hyperlink" Target="https://mfa.gov.b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port.by/services/marketing-services" TargetMode="External"/><Relationship Id="rId11" Type="http://schemas.openxmlformats.org/officeDocument/2006/relationships/hyperlink" Target="https://export.by/single-window/" TargetMode="External"/><Relationship Id="rId24" Type="http://schemas.openxmlformats.org/officeDocument/2006/relationships/hyperlink" Target="https://export.by/single-window/administration-procedures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xport.by/single-window/finding-a-partner-abroad/" TargetMode="External"/><Relationship Id="rId23" Type="http://schemas.openxmlformats.org/officeDocument/2006/relationships/hyperlink" Target="https://export.by/single-window/chain-actions-exporter-importer/podgotovka-dokumentov/" TargetMode="External"/><Relationship Id="rId28" Type="http://schemas.openxmlformats.org/officeDocument/2006/relationships/hyperlink" Target="https://export.by/single-window/banks_services/" TargetMode="External"/><Relationship Id="rId10" Type="http://schemas.openxmlformats.org/officeDocument/2006/relationships/hyperlink" Target="https://export.by/category/country-guidebooks" TargetMode="External"/><Relationship Id="rId19" Type="http://schemas.openxmlformats.org/officeDocument/2006/relationships/hyperlink" Target="https://www.cci.by/meropriyatiya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xport.by/reviews/" TargetMode="External"/><Relationship Id="rId14" Type="http://schemas.openxmlformats.org/officeDocument/2006/relationships/hyperlink" Target="https://export.by/single-window/chain-actions-exporter-importer/" TargetMode="External"/><Relationship Id="rId22" Type="http://schemas.openxmlformats.org/officeDocument/2006/relationships/hyperlink" Target="https://export.by/single-window/chain-actions-exporter-importer/zaklyuchenie-dogovora/" TargetMode="External"/><Relationship Id="rId27" Type="http://schemas.openxmlformats.org/officeDocument/2006/relationships/hyperlink" Target="https://beg.by/strakhovanie-eksportnykh-riskov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Войтова Елена Николаевна</dc:creator>
  <cp:keywords/>
  <dc:description/>
  <cp:lastModifiedBy>Войтова Елена Николаевна</cp:lastModifiedBy>
  <cp:revision>1</cp:revision>
  <dcterms:created xsi:type="dcterms:W3CDTF">2026-07-20T13:20:00Z</dcterms:created>
  <dcterms:modified xsi:type="dcterms:W3CDTF">2026-07-20T13:21:00Z</dcterms:modified>
</cp:coreProperties>
</file>